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C9950" wp14:editId="2BD25F51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7E5616" w:rsidRDefault="00167E21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C51E9" w:rsidRPr="001C51E9" w:rsidRDefault="00167E21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>Рассмотрев, представленный 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Мочаловым А.В.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№139, руководствуясь статьей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>723 686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719 312,1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9554E" w:rsidRPr="005947A5" w:rsidRDefault="00A9554E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дефицит в сумме 4 373,9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1 030 661,4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1 030 661,4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580 956,2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580 956,2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А.В. Мочалов</w:t>
      </w:r>
    </w:p>
    <w:p w:rsidR="00415FD3" w:rsidRDefault="00415FD3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853C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>719 312,1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545 595,4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723 686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A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4 373,9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>1 030 661,4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>580 956,2</w:t>
      </w:r>
      <w:r w:rsidR="00A862D1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846 014,8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62D1">
        <w:rPr>
          <w:rFonts w:ascii="Times New Roman" w:eastAsia="Times New Roman" w:hAnsi="Times New Roman" w:cs="Times New Roman"/>
          <w:sz w:val="28"/>
          <w:szCs w:val="28"/>
          <w:lang w:eastAsia="ru-RU"/>
        </w:rPr>
        <w:t>397 286,6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 xml:space="preserve">1 030 661,4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A862D1">
        <w:rPr>
          <w:rFonts w:ascii="Times New Roman" w:hAnsi="Times New Roman" w:cs="Times New Roman"/>
          <w:sz w:val="28"/>
          <w:szCs w:val="28"/>
          <w:lang w:eastAsia="ru-RU"/>
        </w:rPr>
        <w:t>580 956,2</w:t>
      </w:r>
      <w:r w:rsidR="00A862D1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8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7D36CE" w:rsidRPr="007D36CE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ab/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D36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Объем поступлений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налоговых и неналоговых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доходов районного бюджета на 2023 год и  плановый период 2024 и 2025 годов</w:t>
      </w:r>
    </w:p>
    <w:p w:rsidR="007D36CE" w:rsidRPr="007D36CE" w:rsidRDefault="007D36CE" w:rsidP="007D36CE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бъем поступлений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налоговых и неналоговых 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доходов районного бюджета на 2023 год и  плановый период 2024 и 2025 годов</w:t>
      </w:r>
      <w:r w:rsidRP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545 595,4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846 014,8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6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397 286,6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18 332,5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16 811,5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30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5C25">
        <w:rPr>
          <w:rFonts w:ascii="Times New Roman" w:eastAsia="Times New Roman" w:hAnsi="Times New Roman" w:cs="Times New Roman"/>
          <w:sz w:val="28"/>
          <w:szCs w:val="28"/>
          <w:lang w:eastAsia="ru-RU"/>
        </w:rPr>
        <w:t>19 639,7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</w:t>
      </w:r>
      <w:r w:rsidR="00630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>Увеличить с 1 октября 202</w:t>
      </w:r>
      <w:r w:rsidR="00872B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года в 1,0</w:t>
      </w:r>
      <w:r w:rsidR="00872B9C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72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и плановый период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872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36438">
        <w:rPr>
          <w:rFonts w:ascii="Times New Roman" w:eastAsia="Times New Roman" w:hAnsi="Times New Roman" w:cs="Times New Roman"/>
          <w:sz w:val="28"/>
          <w:szCs w:val="28"/>
          <w:lang w:eastAsia="ru-RU"/>
        </w:rPr>
        <w:t>7 166,7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36438">
        <w:rPr>
          <w:rFonts w:ascii="Times New Roman" w:eastAsia="Times New Roman" w:hAnsi="Times New Roman" w:cs="Times New Roman"/>
          <w:sz w:val="28"/>
          <w:szCs w:val="28"/>
          <w:lang w:eastAsia="ru-RU"/>
        </w:rPr>
        <w:t>7 431,1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C36438">
        <w:rPr>
          <w:rFonts w:ascii="Times New Roman" w:eastAsia="Times New Roman" w:hAnsi="Times New Roman" w:cs="Times New Roman"/>
          <w:sz w:val="28"/>
          <w:szCs w:val="28"/>
          <w:lang w:eastAsia="ru-RU"/>
        </w:rPr>
        <w:t>8 073,6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F2D38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46081">
        <w:rPr>
          <w:rFonts w:ascii="Times New Roman" w:eastAsia="Times New Roman" w:hAnsi="Times New Roman" w:cs="Arial"/>
          <w:sz w:val="28"/>
          <w:szCs w:val="28"/>
          <w:lang w:eastAsia="ru-RU"/>
        </w:rPr>
        <w:t>61 330,9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D46081">
        <w:rPr>
          <w:rFonts w:ascii="Times New Roman" w:eastAsia="Times New Roman" w:hAnsi="Times New Roman" w:cs="Arial"/>
          <w:sz w:val="28"/>
          <w:szCs w:val="28"/>
          <w:lang w:eastAsia="ru-RU"/>
        </w:rPr>
        <w:t>31 647,1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E79A1">
        <w:rPr>
          <w:rFonts w:ascii="Times New Roman" w:eastAsia="Times New Roman" w:hAnsi="Times New Roman" w:cs="Arial"/>
          <w:sz w:val="28"/>
          <w:szCs w:val="28"/>
          <w:lang w:eastAsia="ru-RU"/>
        </w:rPr>
        <w:t>32</w:t>
      </w:r>
      <w:r w:rsidR="00D46081">
        <w:rPr>
          <w:rFonts w:ascii="Times New Roman" w:eastAsia="Times New Roman" w:hAnsi="Times New Roman" w:cs="Arial"/>
          <w:sz w:val="28"/>
          <w:szCs w:val="28"/>
          <w:lang w:eastAsia="ru-RU"/>
        </w:rPr>
        <w:t> 431,4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3 087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районного бюджета 12 669,5 тыс. рублей,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</w:t>
      </w:r>
      <w:proofErr w:type="gramEnd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15 756,5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B05CDA" w:rsidRPr="00A9554E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proofErr w:type="gramEnd"/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A9554E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4 373,9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554E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4 535,3</w:t>
      </w:r>
      <w:r w:rsidR="004017D1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4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554E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4 927,4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301,4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7D3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222,9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576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A6" w:rsidRDefault="00EC1802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</w:t>
      </w:r>
      <w:r w:rsidR="00714E5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9 630,6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8 853,3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5F">
        <w:rPr>
          <w:rFonts w:ascii="Times New Roman" w:eastAsia="Times New Roman" w:hAnsi="Times New Roman" w:cs="Times New Roman"/>
          <w:sz w:val="28"/>
          <w:szCs w:val="28"/>
          <w:lang w:eastAsia="ru-RU"/>
        </w:rPr>
        <w:t>9 245,5</w:t>
      </w:r>
      <w:r w:rsidR="002D11BA" w:rsidRP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E5F" w:rsidRDefault="00714E5F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ж) бюджету городского поселения «Забайкальское» на строительство, реконструкцию, капитальный ремонт и ремонт автомобильных дорог общего пользования местного значения </w:t>
      </w:r>
      <w:r w:rsidR="00F03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искусственных сооружений на них (включая разработку проектной документации и проведение необходимых экспертиз)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2023 год</w:t>
      </w:r>
      <w:r w:rsidR="00F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27 788,4 тыс. рублей;</w:t>
      </w:r>
    </w:p>
    <w:p w:rsidR="002D11BA" w:rsidRDefault="00714E5F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2D11BA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1 185,3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1 185,3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3624">
        <w:rPr>
          <w:rFonts w:ascii="Times New Roman" w:eastAsia="Times New Roman" w:hAnsi="Times New Roman" w:cs="Times New Roman"/>
          <w:sz w:val="28"/>
          <w:szCs w:val="28"/>
          <w:lang w:eastAsia="ru-RU"/>
        </w:rPr>
        <w:t>1 185,3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46081" w:rsidRDefault="00714E5F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Российской Федерации, иными федеральными законами), разрешений на ввод объектов в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год в сумме </w:t>
      </w:r>
      <w:r w:rsidR="00913624">
        <w:rPr>
          <w:rFonts w:ascii="Times New Roman" w:hAnsi="Times New Roman"/>
          <w:bCs/>
          <w:color w:val="000000"/>
          <w:sz w:val="28"/>
          <w:szCs w:val="28"/>
        </w:rPr>
        <w:lastRenderedPageBreak/>
        <w:t>562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9BC" w:rsidRDefault="00D46081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9" w:history="1">
        <w:r w:rsidRPr="007D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</w:t>
      </w:r>
      <w:proofErr w:type="gramEnd"/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263,2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56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9BC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081" w:rsidRDefault="00D46081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614,8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6081" w:rsidRPr="0049419E" w:rsidRDefault="00D46081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мероприятий по обеспечению</w:t>
      </w:r>
      <w:r w:rsidRP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укрепления материально-технической базы домов культуры в населенных пунктах с числом до 50 тысяч человек</w:t>
      </w:r>
      <w:r w:rsid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595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958B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595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52,6</w:t>
      </w:r>
      <w:r w:rsidR="005958B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5958B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95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136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4E1B47" w:rsidRDefault="001C51E9" w:rsidP="004E1B47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  <w:r w:rsidR="004E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>Установить плату за пользование указанными в части 1 настоящей статьи бюджетными кредитами</w:t>
      </w:r>
      <w:r w:rsidR="004E1B47" w:rsidRPr="004E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 xml:space="preserve">в размере 0,1 процента </w:t>
      </w:r>
      <w:proofErr w:type="gramStart"/>
      <w:r w:rsidRPr="004E1B47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="004E1B47" w:rsidRPr="004E1B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по состоянию на 1 января 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4E1B4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4E1B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>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состоянию на 1 января 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8 335,7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6 700,9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 и на 1 января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</w:t>
      </w:r>
      <w:r w:rsidR="004E1B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C45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4 585,8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4E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5C2C9A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5C2C9A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C45CE0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Pr="001C51E9" w:rsidRDefault="003613B9" w:rsidP="00B73D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E1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Pr="00743DBD" w:rsidRDefault="001C51E9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</w:t>
      </w:r>
      <w:r w:rsid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бюджета:</w:t>
      </w:r>
    </w:p>
    <w:p w:rsidR="00727B82" w:rsidRP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товаров, работ, услуг для обеспечения муниципальных нужд в соответствии с </w:t>
      </w:r>
      <w:hyperlink r:id="rId20" w:anchor="/document/99/499011838/XA00MCI2N6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1" w:anchor="/document/99/499011838/XA00MD42N9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26 Федерального закона от 5 апреля 2013 года № 44-ФЗ "О контрактной системе в сфере закупок товаров, работ</w:t>
        </w:r>
        <w:proofErr w:type="gramEnd"/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услуг для обеспечения государственных и муниципальных нужд"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 осуществлении органами местного самоуправления бюджетных полномочий, предусмотренных </w:t>
      </w:r>
      <w:hyperlink r:id="rId22" w:anchor="/document/99/901714433/XA00MAQ2NE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5 статьи 154 </w:t>
        </w:r>
        <w:r w:rsidR="00743D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</w:t>
        </w:r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перераспределения бюджетных ассигнований между текущим финансовым годом и плановым периодом - в пределах предусмотренного решением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получения уведомления о предоставлении субсидий, субвенций, иных межбюджетных трансфертов, имеющих целевое назначение, предоставления из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районному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бюджету бюджетного кредита на финансовое обеспечение реализации инфраструктурных проектов, поступления в бюджет дотаций из федерального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в течение текущего финансового года и получения имеющих целевое назначение имеющих целевое назначение безвозмездных поступлений от физических и юридических лиц сверх объемов, утвержденных решением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бюджете, а также в случае сокращения (возврата при отсутствии потребности) указанных средств;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изменения типа (подведомственности) муниципальных учреждений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увеличения бюджетных 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23" w:anchor="/document/99/901714433/XA00RRG2OL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242.22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объеме,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превышающем остатка не использованных на начало текущего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года бюджетных ассигнований на исполнение указанных муниципальных контрактов;</w:t>
      </w:r>
    </w:p>
    <w:p w:rsidR="00727B82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 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ассигнований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субсидий в соответствии с требованиями;</w:t>
      </w:r>
    </w:p>
    <w:p w:rsidR="00743DBD" w:rsidRDefault="00727B82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 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 собственности после внесения изменений в решения, указанные в </w:t>
      </w:r>
      <w:hyperlink r:id="rId24" w:anchor="/document/99/901714433/XA00MJ02NQ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 78.2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5" w:anchor="/document/99/901714433/XA00MHM2NV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 79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муниципальные контракты или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 о предоставлении субсидий 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743DBD" w:rsidRPr="00743DBD" w:rsidRDefault="00743DBD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иным основаниям в соответствии с пунктом 3 статьи 217 Бюджетного кодекса Российской Федерации. </w:t>
      </w:r>
    </w:p>
    <w:p w:rsidR="00727B82" w:rsidRPr="00727B82" w:rsidRDefault="00743DBD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 в пределах объема бюджетных ассигнований, утвержденных решением о бюджете, за исключением оснований, установленных абзацами восьмым, десятым и одиннадцатым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217 Бюджетного кодекса Российской Федерации</w:t>
      </w:r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которыми внесение изменений в сводную бюджетную роспись может осуществляться с превышением общего объема расходов, утвержденных решением о бюджете.</w:t>
      </w:r>
      <w:proofErr w:type="gramEnd"/>
    </w:p>
    <w:p w:rsidR="00727B82" w:rsidRPr="00743DBD" w:rsidRDefault="00727B82" w:rsidP="00C45CE0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 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="001C51E9"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3. </w:t>
      </w:r>
      <w:proofErr w:type="gramStart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Забайкальскому краю осуществляет на основании решений главных распорядителей средств районного бюджета полномочия получателя средств районного бюджета по перечислению межбюджетных трансфертов, предоставляемых из районного бюджета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на 1 января 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202</w:t>
      </w:r>
      <w:r w:rsidR="00B73D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году, направляются в 202</w:t>
      </w:r>
      <w:r w:rsidR="00105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45CE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7</w:t>
      </w: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AE7495" w:rsidRDefault="00CF7B3B" w:rsidP="00727B82">
      <w:pPr>
        <w:pStyle w:val="a5"/>
        <w:numPr>
          <w:ilvl w:val="3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чейскому сопровождению подлежат</w:t>
      </w:r>
      <w:r w:rsid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495" w:rsidRPr="00AE7495" w:rsidRDefault="00AE7495" w:rsidP="00623F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(гранты в форме субсидий), предоставляемые из районного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лицам, крестьянским (фермерским) хозяйствам,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предпринимателям, источником финансового обеспечения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являются межбюджетные трансферты, имеющие целевое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предоставляемые из 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целях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 расходных обязательств по поддержке сельского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а также авансовые платежи по контрактам (договорам),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финансового обеспечения которых являются указанные</w:t>
      </w:r>
    </w:p>
    <w:p w:rsid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субсидии;</w:t>
      </w:r>
    </w:p>
    <w:p w:rsidR="00AE7495" w:rsidRPr="00AE7495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495" w:rsidRPr="00AE7495">
        <w:rPr>
          <w:rFonts w:ascii="Times New Roman" w:hAnsi="Times New Roman" w:cs="Times New Roman"/>
          <w:sz w:val="28"/>
          <w:szCs w:val="28"/>
        </w:rPr>
        <w:t>) субсидии, предоставляемые из бюджета края юридическим лицам,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том числе бюджетным и автономным учреждениям,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трансферты, имеющие целевое назначение, местным бюджетам,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финансового обеспечения которых являются средства бюджетного кредита,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полученного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реализации инфраструктурных проектов;</w:t>
      </w:r>
    </w:p>
    <w:p w:rsidR="00AE7495" w:rsidRP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495">
        <w:rPr>
          <w:rFonts w:ascii="Times New Roman" w:hAnsi="Times New Roman" w:cs="Times New Roman"/>
          <w:sz w:val="28"/>
          <w:szCs w:val="28"/>
        </w:rPr>
        <w:t>4) целевые средства, направляемы</w:t>
      </w:r>
      <w:r w:rsidR="00623F9C">
        <w:rPr>
          <w:rFonts w:ascii="Times New Roman" w:hAnsi="Times New Roman" w:cs="Times New Roman"/>
          <w:sz w:val="28"/>
          <w:szCs w:val="28"/>
        </w:rPr>
        <w:t xml:space="preserve">е на проведение выборов за счет </w:t>
      </w:r>
      <w:r w:rsidRPr="00AE749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3F9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E7495">
        <w:rPr>
          <w:rFonts w:ascii="Times New Roman" w:hAnsi="Times New Roman" w:cs="Times New Roman"/>
          <w:sz w:val="28"/>
          <w:szCs w:val="28"/>
        </w:rPr>
        <w:t>бюджета</w:t>
      </w:r>
      <w:r w:rsidR="00623F9C">
        <w:rPr>
          <w:rFonts w:ascii="Times New Roman" w:hAnsi="Times New Roman" w:cs="Times New Roman"/>
          <w:sz w:val="28"/>
          <w:szCs w:val="28"/>
        </w:rPr>
        <w:t>.</w:t>
      </w:r>
    </w:p>
    <w:p w:rsidR="00CF7B3B" w:rsidRDefault="00CF7B3B" w:rsidP="00623F9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органам местного самоуправления поселений не допускать принятия решений, влекущих за собой увеличение численности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органов местного самоуправления, муниципальных служащих и работников муниципальных учреждений.</w:t>
      </w:r>
    </w:p>
    <w:p w:rsidR="00623F9C" w:rsidRPr="00623F9C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23F9C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623F9C">
        <w:rPr>
          <w:rFonts w:ascii="Times New Roman" w:hAnsi="Times New Roman" w:cs="Times New Roman"/>
          <w:sz w:val="28"/>
          <w:szCs w:val="28"/>
        </w:rPr>
        <w:t xml:space="preserve"> допускается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указаний на наименования городского 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поселения допускается без указания на наименование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района, в состав которого входят данные поселения.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CE4CA5" w:rsidRDefault="00CE4CA5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D634EC" w:rsidTr="00A11FB1">
        <w:trPr>
          <w:trHeight w:val="1163"/>
        </w:trPr>
        <w:tc>
          <w:tcPr>
            <w:tcW w:w="486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__декабря 2022 года 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2023 год</w:t>
      </w:r>
      <w:r w:rsidRPr="00D634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D634EC" w:rsidRPr="00D634EC" w:rsidTr="00A11FB1">
        <w:tc>
          <w:tcPr>
            <w:tcW w:w="4248" w:type="dxa"/>
            <w:gridSpan w:val="2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-4373,9</w:t>
            </w:r>
          </w:p>
        </w:tc>
      </w:tr>
      <w:tr w:rsidR="00D634EC" w:rsidRPr="00D634EC" w:rsidTr="00A11FB1">
        <w:trPr>
          <w:trHeight w:val="463"/>
        </w:trPr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D634EC" w:rsidRPr="00D634EC" w:rsidTr="00A11FB1">
        <w:trPr>
          <w:trHeight w:val="723"/>
        </w:trPr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</w:t>
            </w: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-1634,8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5640,9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-719679,9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-719679,9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-719679,9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-719679,9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725320,8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725320,8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725320,8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725320,8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rPr>
          <w:trHeight w:val="690"/>
        </w:trPr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634EC" w:rsidTr="00A11FB1">
        <w:tc>
          <w:tcPr>
            <w:tcW w:w="172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D634EC" w:rsidRPr="00D634EC" w:rsidTr="00A11FB1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__декабря 2022 года "Об утверждении районного бюджета муниципального района "Забайкальский район" на 2023 год и плановый период 2024 и 2025 годов"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2024 и 2025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D634EC" w:rsidRPr="00D634EC" w:rsidTr="00A11FB1">
        <w:trPr>
          <w:trHeight w:val="1000"/>
        </w:trPr>
        <w:tc>
          <w:tcPr>
            <w:tcW w:w="3540" w:type="dxa"/>
            <w:gridSpan w:val="2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D634EC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D634EC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D634EC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D634EC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D634EC" w:rsidRPr="00D634EC" w:rsidTr="00A11FB1">
        <w:trPr>
          <w:trHeight w:val="3905"/>
        </w:trPr>
        <w:tc>
          <w:tcPr>
            <w:tcW w:w="817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4EC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D634EC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634EC" w:rsidRPr="00D634EC" w:rsidTr="00A11FB1">
        <w:trPr>
          <w:trHeight w:val="855"/>
        </w:trPr>
        <w:tc>
          <w:tcPr>
            <w:tcW w:w="817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249"/>
        </w:trPr>
        <w:tc>
          <w:tcPr>
            <w:tcW w:w="817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EC" w:rsidRPr="00D634EC" w:rsidTr="00A11FB1">
        <w:trPr>
          <w:trHeight w:val="503"/>
        </w:trPr>
        <w:tc>
          <w:tcPr>
            <w:tcW w:w="817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1236"/>
        </w:trPr>
        <w:tc>
          <w:tcPr>
            <w:tcW w:w="817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885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1385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852"/>
        </w:trPr>
        <w:tc>
          <w:tcPr>
            <w:tcW w:w="817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-1634,8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-2115,1</w:t>
            </w:r>
          </w:p>
        </w:tc>
      </w:tr>
      <w:tr w:rsidR="00D634EC" w:rsidRPr="00D634EC" w:rsidTr="00A11FB1">
        <w:trPr>
          <w:trHeight w:val="1281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468099168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8"/>
      <w:tr w:rsidR="00D634EC" w:rsidRPr="00D634EC" w:rsidTr="00A11FB1">
        <w:trPr>
          <w:trHeight w:val="110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4EC" w:rsidRPr="00D634EC" w:rsidTr="00A11FB1">
        <w:trPr>
          <w:trHeight w:val="110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226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bookmarkEnd w:id="9"/>
      <w:tr w:rsidR="00D634EC" w:rsidRPr="00D634EC" w:rsidTr="00A11FB1">
        <w:trPr>
          <w:trHeight w:val="1577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tr w:rsidR="00D634EC" w:rsidRPr="00D634EC" w:rsidTr="00A11FB1">
        <w:trPr>
          <w:trHeight w:val="720"/>
        </w:trPr>
        <w:tc>
          <w:tcPr>
            <w:tcW w:w="817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1267,0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1232,3</w:t>
            </w:r>
          </w:p>
        </w:tc>
      </w:tr>
      <w:tr w:rsidR="00D634EC" w:rsidRPr="00D634EC" w:rsidTr="00A11FB1">
        <w:trPr>
          <w:trHeight w:val="691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395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1"/>
            <w:bookmarkStart w:id="12" w:name="OLE_LINK32"/>
            <w:r w:rsidRPr="00D634EC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D634EC">
              <w:rPr>
                <w:rFonts w:ascii="Times New Roman" w:hAnsi="Times New Roman"/>
                <w:sz w:val="24"/>
                <w:szCs w:val="24"/>
              </w:rPr>
              <w:t>1031029,2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-581839,0</w:t>
            </w:r>
          </w:p>
        </w:tc>
      </w:tr>
      <w:bookmarkEnd w:id="10"/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-1031029,2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-581839,0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r w:rsidRPr="00D634EC">
              <w:rPr>
                <w:rFonts w:ascii="Times New Roman" w:hAnsi="Times New Roman"/>
                <w:sz w:val="24"/>
                <w:szCs w:val="24"/>
              </w:rPr>
              <w:t>-1031029,2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-581839,0</w:t>
            </w:r>
          </w:p>
        </w:tc>
      </w:tr>
      <w:tr w:rsidR="00D634EC" w:rsidRPr="00D634EC" w:rsidTr="00A11FB1">
        <w:trPr>
          <w:trHeight w:val="97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D634EC" w:rsidRPr="00D634EC" w:rsidRDefault="00D634EC" w:rsidP="00D634EC">
            <w:r w:rsidRPr="00D634EC">
              <w:rPr>
                <w:rFonts w:ascii="Times New Roman" w:hAnsi="Times New Roman"/>
                <w:sz w:val="24"/>
                <w:szCs w:val="24"/>
              </w:rPr>
              <w:t>-1031029,2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-581839,0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68099418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1032296,2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583071,3</w:t>
            </w:r>
          </w:p>
        </w:tc>
      </w:tr>
      <w:bookmarkEnd w:id="13"/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1032296,2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583071,3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1032296,2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583071,3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1032296,2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583071,3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104900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68099507"/>
            <w:bookmarkEnd w:id="14"/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EC">
              <w:rPr>
                <w:rFonts w:ascii="Times New Roman" w:hAnsi="Times New Roman"/>
                <w:b/>
                <w:sz w:val="24"/>
                <w:szCs w:val="24"/>
              </w:rPr>
              <w:t>882,8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68104920"/>
            <w:bookmarkEnd w:id="15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bookmarkEnd w:id="16"/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49"/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7"/>
      <w:tr w:rsidR="00D634EC" w:rsidRPr="00D634EC" w:rsidTr="00A11FB1">
        <w:trPr>
          <w:trHeight w:val="1158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tr w:rsidR="00D634EC" w:rsidRPr="00D634EC" w:rsidTr="00A11FB1">
        <w:trPr>
          <w:trHeight w:val="740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34EC" w:rsidRPr="00D634EC" w:rsidTr="00A11FB1">
        <w:trPr>
          <w:trHeight w:val="557"/>
        </w:trPr>
        <w:tc>
          <w:tcPr>
            <w:tcW w:w="817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D634EC" w:rsidRPr="00D634EC" w:rsidRDefault="00D634EC" w:rsidP="00D634EC">
            <w:pPr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D634EC" w:rsidRPr="00D634EC" w:rsidRDefault="00D634EC" w:rsidP="00D63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D634EC" w:rsidRPr="00D634EC" w:rsidRDefault="00D634EC" w:rsidP="00D63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EC"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D634EC" w:rsidTr="00A11FB1">
        <w:trPr>
          <w:trHeight w:val="1163"/>
          <w:jc w:val="right"/>
        </w:trPr>
        <w:tc>
          <w:tcPr>
            <w:tcW w:w="4860" w:type="dxa"/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2022 года №   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D634EC" w:rsidRPr="00D634EC" w:rsidRDefault="00D634EC" w:rsidP="00D634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lastRenderedPageBreak/>
        <w:t xml:space="preserve">Нормативы распределения доходов между районным  бюджетом и бюджетами поселений 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D634EC" w:rsidRPr="00D634EC" w:rsidRDefault="00D634EC" w:rsidP="00D63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D634EC" w:rsidRPr="00D634EC" w:rsidTr="00A11FB1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58327D" w:rsidTr="00A11FB1">
        <w:trPr>
          <w:trHeight w:val="1163"/>
          <w:jc w:val="right"/>
        </w:trPr>
        <w:tc>
          <w:tcPr>
            <w:tcW w:w="4860" w:type="dxa"/>
          </w:tcPr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   декабря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  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34EC" w:rsidRPr="00DD0724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Объем поступлений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 районного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 плановый период 2024 и 2025 годов</w:t>
      </w:r>
    </w:p>
    <w:p w:rsidR="00D634EC" w:rsidRPr="00DD0724" w:rsidRDefault="00D634EC" w:rsidP="00D634E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269"/>
        <w:gridCol w:w="1275"/>
        <w:gridCol w:w="1275"/>
        <w:gridCol w:w="1277"/>
      </w:tblGrid>
      <w:tr w:rsidR="00D634EC" w:rsidRPr="00DD0724" w:rsidTr="00A11FB1">
        <w:trPr>
          <w:trHeight w:val="90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CD32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4EC" w:rsidRPr="00CD32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D634EC" w:rsidRPr="00CD32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CD32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4EC" w:rsidRPr="00CD32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D634EC" w:rsidRPr="00CD32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CD328A" w:rsidRDefault="00D634EC" w:rsidP="00A11FB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CD328A" w:rsidRDefault="00D634EC" w:rsidP="00A11FB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CD328A" w:rsidRDefault="00D634EC" w:rsidP="00A11FB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</w:tr>
      <w:tr w:rsidR="00D634EC" w:rsidRPr="00DD0724" w:rsidTr="00A11FB1">
        <w:trPr>
          <w:trHeight w:val="5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24988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24988" w:rsidRDefault="00D634EC" w:rsidP="00A11F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24988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173716,7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24988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184646,6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24988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183669,6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120601,2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127651,8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120601,2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127651,8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113599,2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122354,4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120366,6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56,1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57,2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</w:t>
            </w:r>
            <w:proofErr w:type="gramStart"/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полученных</w:t>
            </w:r>
            <w:proofErr w:type="gramEnd"/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449,0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458,0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6039,0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6160,0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6283,0</w:t>
            </w:r>
          </w:p>
        </w:tc>
      </w:tr>
      <w:tr w:rsidR="00D634EC" w:rsidRPr="0058688A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688A">
              <w:rPr>
                <w:rFonts w:ascii="Times New Roman" w:hAnsi="Times New Roman" w:cs="Times New Roman"/>
                <w:i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8688A">
              <w:rPr>
                <w:rFonts w:ascii="Times New Roman" w:hAnsi="Times New Roman" w:cs="Times New Roman"/>
                <w:i/>
                <w:sz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i/>
                <w:lang w:eastAsia="ru-RU"/>
              </w:rPr>
              <w:t>477,0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58688A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487,0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8073,6</w:t>
            </w:r>
          </w:p>
        </w:tc>
      </w:tr>
      <w:tr w:rsidR="00D634EC" w:rsidRPr="00DD0724" w:rsidTr="00A11FB1">
        <w:trPr>
          <w:trHeight w:val="12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8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3861,2</w:t>
            </w:r>
          </w:p>
        </w:tc>
      </w:tr>
      <w:tr w:rsidR="00D634EC" w:rsidRPr="00DD0724" w:rsidTr="00A11FB1">
        <w:trPr>
          <w:trHeight w:val="15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8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производимый на территории Российской Федерации, </w:t>
            </w: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4662,2</w:t>
            </w:r>
          </w:p>
        </w:tc>
      </w:tr>
      <w:tr w:rsidR="00D634EC" w:rsidRPr="00DD0724" w:rsidTr="00A11FB1">
        <w:trPr>
          <w:trHeight w:val="13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8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FB7248" w:rsidRDefault="00D634EC" w:rsidP="00A11FB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производимый на территории Российской Федерации, </w:t>
            </w:r>
            <w:r w:rsidRPr="00FB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-475,5</w:t>
            </w:r>
          </w:p>
        </w:tc>
      </w:tr>
      <w:tr w:rsidR="00D634EC" w:rsidRPr="00DD0724" w:rsidTr="00A11FB1">
        <w:trPr>
          <w:trHeight w:val="1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14284,2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15105,2</w:t>
            </w:r>
          </w:p>
        </w:tc>
      </w:tr>
      <w:tr w:rsidR="00D634EC" w:rsidRPr="00DD0724" w:rsidTr="00A11FB1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8851E5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11818,4</w:t>
            </w:r>
          </w:p>
        </w:tc>
      </w:tr>
      <w:tr w:rsidR="00D634EC" w:rsidRPr="00003B2B" w:rsidTr="00A11FB1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2B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2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003B2B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3186,8</w:t>
            </w:r>
          </w:p>
        </w:tc>
      </w:tr>
      <w:tr w:rsidR="00D634EC" w:rsidRPr="00DD0724" w:rsidTr="00A11FB1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3615,0</w:t>
            </w:r>
          </w:p>
        </w:tc>
      </w:tr>
      <w:tr w:rsidR="00D634EC" w:rsidRPr="00DD0724" w:rsidTr="00A11FB1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3615,0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4065,0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1 08  07150  01 0000  110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19274,7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18192,5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52629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D07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1068,9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3398,4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200,6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3594,2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E420F3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20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3136,7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1 16 010000 01 0000 140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794C71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4C71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1588,1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1 16 100000 00 0000 140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794C71" w:rsidRDefault="00D634EC" w:rsidP="00A1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4C71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3902D0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1548,6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1 17  00000   00  0000  000   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634EC" w:rsidRPr="00DD0724" w:rsidTr="00A11F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D0724" w:rsidRDefault="00D634EC" w:rsidP="00A1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0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D0724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Default="00D634EC" w:rsidP="00A1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</w:tbl>
    <w:p w:rsidR="00D634EC" w:rsidRPr="00571F3E" w:rsidRDefault="00D634EC" w:rsidP="00D634EC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__декабря 2022 года 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D634EC" w:rsidRPr="00D634EC" w:rsidRDefault="00D634EC" w:rsidP="00D634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D634EC" w:rsidRPr="00D634EC" w:rsidTr="00A11FB1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545 595,4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68 508,0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68 458,0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39 301,1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39 301,1</w:t>
            </w:r>
          </w:p>
        </w:tc>
      </w:tr>
      <w:tr w:rsidR="00D634EC" w:rsidRPr="00D634EC" w:rsidTr="00A11FB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338 021,4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323 993,3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14 024,4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99 764,9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2 515,5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97 249,4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__ декабря 2022 года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</w:tbl>
    <w:p w:rsidR="00D634EC" w:rsidRPr="00D634EC" w:rsidRDefault="00D634EC" w:rsidP="00D634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2024 и 2025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D634EC" w:rsidRPr="00D634EC" w:rsidTr="00A11FB1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846 014,8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397 286,6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48 088,0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37 839,0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48 038,0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37 789,0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12 184,7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12 932,7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1 922,9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1 922,9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10 261,8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11 099,8</w:t>
            </w:r>
          </w:p>
        </w:tc>
      </w:tr>
      <w:tr w:rsidR="00D634EC" w:rsidRPr="00D634EC" w:rsidTr="00A11FB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260 307,4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325 191,6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249 522,5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311 749,3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10 780,6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13 438,8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525434,7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21 323,3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1 931,4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2 419,6</w:t>
            </w:r>
          </w:p>
        </w:tc>
      </w:tr>
      <w:tr w:rsidR="00D634EC" w:rsidRPr="00D634EC" w:rsidTr="00A11FB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523 503,3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-459" w:type="dxa"/>
        <w:tblLook w:val="04A0" w:firstRow="1" w:lastRow="0" w:firstColumn="1" w:lastColumn="0" w:noHBand="0" w:noVBand="1"/>
      </w:tblPr>
      <w:tblGrid>
        <w:gridCol w:w="4410"/>
        <w:gridCol w:w="850"/>
        <w:gridCol w:w="851"/>
        <w:gridCol w:w="1531"/>
        <w:gridCol w:w="850"/>
        <w:gridCol w:w="1304"/>
      </w:tblGrid>
      <w:tr w:rsidR="00D634EC" w:rsidRPr="00D634EC" w:rsidTr="00DD09F7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634EC" w:rsidRPr="00D634EC" w:rsidTr="00DD09F7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EC" w:rsidRPr="00D634EC" w:rsidTr="00DD09F7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68 057,8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22 763,6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8 688,9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8 688,9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31 971,5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28 902,4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казенных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634EC" w:rsidRPr="00D634EC" w:rsidTr="00DD09F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37 653,6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11 390,2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559 923,8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130 601,0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130 601,0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130 056,1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390 557,0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390 557,0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306 687,1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12 442,2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142 148,2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6 685,0</w:t>
            </w:r>
          </w:p>
        </w:tc>
      </w:tr>
      <w:tr w:rsidR="00D634EC" w:rsidRPr="00D634EC" w:rsidTr="00DD09F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3 554,9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18 424,7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семьях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723 686,0</w:t>
            </w:r>
          </w:p>
        </w:tc>
      </w:tr>
    </w:tbl>
    <w:p w:rsidR="00D634EC" w:rsidRPr="00D634EC" w:rsidRDefault="00D634EC" w:rsidP="00D634E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634EC" w:rsidRPr="00D634EC" w:rsidRDefault="00D634EC" w:rsidP="00D634E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8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D09F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276"/>
        <w:gridCol w:w="733"/>
        <w:gridCol w:w="1251"/>
        <w:gridCol w:w="1276"/>
      </w:tblGrid>
      <w:tr w:rsidR="00D634EC" w:rsidRPr="00D634EC" w:rsidTr="00DD09F7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D634EC" w:rsidRPr="00D634EC" w:rsidTr="00DD09F7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45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53 252,9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08 0 03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18 490,7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15 421,6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15 421,6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15 421,6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15 421,6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634EC" w:rsidRPr="00D634EC" w:rsidTr="00DD09F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11 005,1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459 324,3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25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303 785,2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303 785,2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8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634EC" w:rsidRPr="00D634EC" w:rsidTr="00DD09F7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507,4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19 731,7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16 211,4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580 956,2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D634EC" w:rsidRPr="00D634EC" w:rsidTr="00A11FB1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559"/>
      </w:tblGrid>
      <w:tr w:rsidR="00D634EC" w:rsidRPr="00D634EC" w:rsidTr="00DD09F7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634EC" w:rsidRPr="00D634EC" w:rsidTr="00DD09F7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EC" w:rsidRPr="00D634EC" w:rsidTr="00DD09F7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25 951,4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8 175,2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250,1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56 245,9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56 245,9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32 302,2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32 302,2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32 302,2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27 699,1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27 699,1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28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11 377,9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131 210,3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130 056,1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391 348,0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306 687,1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12 442,2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142 148,2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35 210,9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11 158,6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723 686,0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10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567"/>
        <w:gridCol w:w="1417"/>
        <w:gridCol w:w="1559"/>
      </w:tblGrid>
      <w:tr w:rsidR="00D634EC" w:rsidRPr="00D634EC" w:rsidTr="00DD09F7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D634EC" w:rsidRPr="00D634EC" w:rsidTr="00DD09F7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42 727,6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42 727,6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18 821,4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18 821,4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18 821,4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14 218,3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14 218,3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12353,7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765 367,1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304 566,4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1 030 661,4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580 956,2</w:t>
            </w:r>
          </w:p>
        </w:tc>
      </w:tr>
    </w:tbl>
    <w:p w:rsidR="00D634EC" w:rsidRPr="00D634EC" w:rsidRDefault="00D634EC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2023 год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16"/>
        <w:gridCol w:w="1087"/>
        <w:gridCol w:w="664"/>
        <w:gridCol w:w="579"/>
        <w:gridCol w:w="1528"/>
        <w:gridCol w:w="629"/>
        <w:gridCol w:w="1093"/>
      </w:tblGrid>
      <w:tr w:rsidR="00D634EC" w:rsidRPr="00D634EC" w:rsidTr="00DD09F7">
        <w:trPr>
          <w:trHeight w:val="300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D634EC" w:rsidRPr="00D634EC" w:rsidTr="00DD09F7">
        <w:trPr>
          <w:trHeight w:val="230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230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795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52 811,8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28 746,3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7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22 496,2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2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34EC" w:rsidRPr="00D634EC" w:rsidTr="00DD09F7">
        <w:trPr>
          <w:trHeight w:val="17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34EC" w:rsidRPr="00D634EC" w:rsidTr="00DD09F7">
        <w:trPr>
          <w:trHeight w:val="8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82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18 424,7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29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13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D634EC" w:rsidRPr="00D634EC" w:rsidTr="00DD09F7">
        <w:trPr>
          <w:trHeight w:val="5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семьях опекунов (попечителей)"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8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665 983,3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34 420,6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25 888,9</w:t>
            </w:r>
          </w:p>
        </w:tc>
      </w:tr>
      <w:tr w:rsidR="00D634EC" w:rsidRPr="00D634EC" w:rsidTr="00DD09F7">
        <w:trPr>
          <w:trHeight w:val="1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24 299,3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634EC" w:rsidRPr="00D634EC" w:rsidTr="00DD09F7">
        <w:trPr>
          <w:trHeight w:val="93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17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35 567,2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17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4 373,9</w:t>
            </w:r>
          </w:p>
        </w:tc>
      </w:tr>
      <w:tr w:rsidR="00D634EC" w:rsidRPr="00D634EC" w:rsidTr="00DD09F7">
        <w:trPr>
          <w:trHeight w:val="153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27 788,4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11 390,2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10 815,9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556 399,4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130 601,0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130 056,1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</w:tr>
      <w:tr w:rsidR="00D634EC" w:rsidRPr="00D634EC" w:rsidTr="00DD09F7">
        <w:trPr>
          <w:trHeight w:val="280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оздоровления </w:t>
            </w: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390 557,0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390 557,0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306 687,1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53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12 442,2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80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142 148,2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99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77 861,6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20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7 139,4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8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0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2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8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723 686,0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декабря 2022 года №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2024 и 2025 годов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567"/>
        <w:gridCol w:w="567"/>
        <w:gridCol w:w="1418"/>
        <w:gridCol w:w="567"/>
        <w:gridCol w:w="992"/>
        <w:gridCol w:w="1134"/>
      </w:tblGrid>
      <w:tr w:rsidR="00D634EC" w:rsidRPr="00D634EC" w:rsidTr="00DD09F7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D634EC" w:rsidRPr="00D634EC" w:rsidTr="00DD09F7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7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34EC" w:rsidRPr="00D634EC" w:rsidTr="00DD09F7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D634EC" w:rsidRPr="00D634EC" w:rsidTr="00DD09F7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634EC" w:rsidRPr="00D634EC" w:rsidTr="00DD09F7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D634EC" w:rsidRPr="00D634EC" w:rsidTr="00DD09F7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9 127,7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524 263,9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19 653,4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12 408,1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D634EC" w:rsidRPr="00D634EC" w:rsidTr="00DD09F7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11 005,1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9 245,5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456 073,8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D634EC" w:rsidRPr="00D634EC" w:rsidTr="00DD09F7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303 785,2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303 785,2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D634EC" w:rsidRPr="00D634EC" w:rsidTr="00DD09F7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D634EC" w:rsidRPr="00D634EC" w:rsidTr="00DD09F7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"Бюджетные ассигнования на осуществление бюджетных инвестиций в объекты государственной собственности  (строительство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D634EC" w:rsidRPr="00D634EC" w:rsidTr="00DD09F7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1 922,9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1922,9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D634EC" w:rsidRPr="00D634EC" w:rsidTr="00DD09F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D634EC" w:rsidRPr="00D634EC" w:rsidTr="00DD09F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D634EC" w:rsidRPr="00D634EC" w:rsidTr="00DD09F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34EC" w:rsidRPr="00D634EC" w:rsidTr="00DD09F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1 030 661,4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580 956,2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D09F7" w:rsidRDefault="00DD09F7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№13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__ декабря 2022 года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2023 год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2024 и 2025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2023 год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Билитуйская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Красновеликанская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пола, замена дверей, устройство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отмостки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пожароохранная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сигнализация в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Степнинская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Арабатукская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 – ремонт пола, замена окон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Харанорская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№14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__ декабря 2022 года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2023 год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2024 и 2025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2024 года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здания МАОУ «СОШ №1»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Красновеликанская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«Капитальный ремонт здания МОУ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Абагайтуйская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№7»</w:t>
            </w:r>
          </w:p>
        </w:tc>
      </w:tr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Школа 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</w:tbl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D634EC" w:rsidRPr="00D634EC" w:rsidTr="00A11FB1">
        <w:trPr>
          <w:trHeight w:val="1163"/>
        </w:trPr>
        <w:tc>
          <w:tcPr>
            <w:tcW w:w="510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№15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«__» _____ 2022 года № __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2023 год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D634EC" w:rsidRPr="00D634EC" w:rsidTr="00A11FB1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D634EC" w:rsidRPr="00D634EC" w:rsidTr="00A11FB1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1 265,1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1 324,8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573,7</w:t>
            </w:r>
          </w:p>
        </w:tc>
      </w:tr>
      <w:tr w:rsidR="00D634EC" w:rsidRPr="00D634EC" w:rsidTr="00A11FB1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1 993,3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</w:tr>
      <w:tr w:rsidR="00D634EC" w:rsidRPr="00D634EC" w:rsidTr="00A11FB1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2 369,5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D634EC" w:rsidRPr="00D634EC" w:rsidTr="00A11FB1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1 267,5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D634EC" w:rsidRPr="00D634EC" w:rsidTr="00A11F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2 165,1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D634EC" w:rsidRPr="00D634EC" w:rsidTr="00A11FB1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2 724,9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2 605,3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</w:tr>
      <w:tr w:rsidR="00D634EC" w:rsidRPr="00D634EC" w:rsidTr="00A11FB1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12 669,5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3 087,0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16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«Забайкальский район» от «__» _______  2022 года № __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2023 год и плановый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2024 и 2025 годов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2024 и 2025 годов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D634EC" w:rsidRPr="00D634EC" w:rsidTr="00A11FB1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2 437,7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1 473,7</w:t>
            </w:r>
          </w:p>
        </w:tc>
      </w:tr>
      <w:tr w:rsidR="00D634EC" w:rsidRPr="00D634EC" w:rsidTr="00A11FB1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1 324,8</w:t>
            </w:r>
          </w:p>
        </w:tc>
      </w:tr>
      <w:tr w:rsidR="00D634EC" w:rsidRPr="00D634EC" w:rsidTr="00A11FB1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</w:tr>
      <w:tr w:rsidR="00D634EC" w:rsidRPr="00D634EC" w:rsidTr="00A11FB1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2 369,5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2 369,5</w:t>
            </w:r>
          </w:p>
        </w:tc>
      </w:tr>
      <w:tr w:rsidR="00D634EC" w:rsidRPr="00D634EC" w:rsidTr="00A11FB1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1 267,5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1 267,5</w:t>
            </w:r>
          </w:p>
        </w:tc>
      </w:tr>
      <w:tr w:rsidR="00D634EC" w:rsidRPr="00D634EC" w:rsidTr="00A11FB1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2 165,1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2 165,1</w:t>
            </w:r>
          </w:p>
        </w:tc>
      </w:tr>
      <w:tr w:rsidR="00D634EC" w:rsidRPr="00D634EC" w:rsidTr="00A11FB1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2 724,9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2 724,9</w:t>
            </w:r>
          </w:p>
        </w:tc>
      </w:tr>
      <w:tr w:rsidR="00D634EC" w:rsidRPr="00D634EC" w:rsidTr="00A11FB1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  <w:tc>
          <w:tcPr>
            <w:tcW w:w="2983" w:type="dxa"/>
            <w:shd w:val="clear" w:color="auto" w:fill="auto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15 756,5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294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lastRenderedPageBreak/>
              <w:t>69</w:t>
            </w: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D634EC" w:rsidRPr="00D634EC" w:rsidTr="00A11FB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4 373,9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769,8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356,4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289,4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908,7</w:t>
            </w:r>
          </w:p>
        </w:tc>
      </w:tr>
      <w:tr w:rsidR="00D634EC" w:rsidRPr="00D634EC" w:rsidTr="00A11FB1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1 354,4</w:t>
            </w:r>
          </w:p>
        </w:tc>
      </w:tr>
      <w:tr w:rsidR="00D634EC" w:rsidRPr="00D634EC" w:rsidTr="00A11FB1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695,2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301,4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158,0</w:t>
            </w:r>
          </w:p>
        </w:tc>
      </w:tr>
    </w:tbl>
    <w:p w:rsidR="00D634EC" w:rsidRPr="00D634EC" w:rsidRDefault="00D634EC" w:rsidP="00D634E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D634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,9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70,9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525,0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«__»_____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1 185,3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"Забайкальский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6</w:t>
            </w:r>
          </w:p>
        </w:tc>
      </w:tr>
      <w:tr w:rsidR="00A11FB1" w:rsidRPr="00A11FB1" w:rsidTr="00A11FB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26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27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28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2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планируемых строительстве или реконструкции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30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31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32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33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34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2023 год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562,0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A11FB1" w:rsidRPr="00A11FB1" w:rsidTr="00A11FB1">
        <w:trPr>
          <w:cantSplit/>
          <w:trHeight w:val="24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A11FB1" w:rsidRPr="00A11FB1" w:rsidTr="00A11FB1">
        <w:trPr>
          <w:cantSplit/>
          <w:trHeight w:val="30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</w:tr>
      <w:tr w:rsidR="00A11FB1" w:rsidRPr="00A11FB1" w:rsidTr="00A11FB1">
        <w:trPr>
          <w:cantSplit/>
          <w:trHeight w:val="24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законодательством</w:t>
            </w:r>
            <w:r w:rsidRPr="00A11FB1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263,2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41,1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46,2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614,8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94,0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136,1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84,4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270,3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537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333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5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9  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5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5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 обеспечение развития и укрепления материально-технической базы домов культуры в населенных пунктах с числом до 50 тысяч человек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41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52,6</w:t>
            </w:r>
          </w:p>
        </w:tc>
      </w:tr>
      <w:tr w:rsidR="00A11FB1" w:rsidRPr="00A11FB1" w:rsidTr="00A11FB1">
        <w:trPr>
          <w:trHeight w:val="320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10,7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_____ 2022 года №__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35" w:history="1">
              <w:r w:rsidRPr="00A11FB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4535,3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4927,4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867,3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720,8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783,1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401,5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326,0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942,3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1023,7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1 404,4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1525,8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77"/>
        <w:gridCol w:w="4379"/>
        <w:gridCol w:w="142"/>
      </w:tblGrid>
      <w:tr w:rsidR="00A11FB1" w:rsidRPr="00A11FB1" w:rsidTr="00DD09F7">
        <w:trPr>
          <w:trHeight w:val="350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от «__» ____ 2022 года № __ 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DD09F7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«Забайкальский район» </w:t>
            </w:r>
          </w:p>
          <w:p w:rsidR="00A11FB1" w:rsidRPr="00A11FB1" w:rsidRDefault="00A11FB1" w:rsidP="00DD09F7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2023 год и плановый период 2024 и 2025 годов»</w:t>
            </w: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A11FB1" w:rsidRPr="00A11FB1" w:rsidTr="00DD09F7">
        <w:trPr>
          <w:gridAfter w:val="2"/>
          <w:wAfter w:w="4521" w:type="dxa"/>
          <w:trHeight w:val="134"/>
        </w:trPr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552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A11FB1" w:rsidRPr="00A11FB1" w:rsidTr="00DD09F7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______ 2022 года № __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A11FB1" w:rsidRPr="00A11FB1" w:rsidTr="00DD09F7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222,9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222,9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70,9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DD09F7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A11FB1" w:rsidRPr="00A11FB1" w:rsidRDefault="00A11FB1" w:rsidP="00A11FB1">
      <w:pPr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9F7" w:rsidRDefault="00DD09F7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9F7" w:rsidRDefault="00DD09F7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______ 2022 года № __ «Об утверждении районного бюджета муниципального района "Забайкальский район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525,0           525,0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75,0              75,0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______ 2022 года № __ «Об утверждении районного бюджета муниципального района "Забайкальский район» на 2023 год и плановый период 2024 и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2024 и 2025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1185,3        1185,3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100,0           100,0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268,3           268,3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465,0            465,0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11FB1" w:rsidRPr="00A11FB1" w:rsidRDefault="00A11FB1" w:rsidP="00A11F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«__» ____ 2022 года № __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6</w:t>
            </w:r>
          </w:p>
        </w:tc>
      </w:tr>
      <w:tr w:rsidR="00A11FB1" w:rsidRPr="00A11FB1" w:rsidTr="00A11FB1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  <w:r w:rsidRPr="00A11FB1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  <w:proofErr w:type="gramEnd"/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263,2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263,2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46,2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19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 декабря 2022г. № 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2023 год </w:t>
      </w:r>
    </w:p>
    <w:p w:rsidR="00533064" w:rsidRPr="00533064" w:rsidRDefault="00533064" w:rsidP="0053306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2024 и 2025 годов» 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3306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533064" w:rsidRPr="00533064" w:rsidRDefault="00533064" w:rsidP="00533064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533064">
        <w:rPr>
          <w:rFonts w:ascii="Calibri" w:eastAsia="Times New Roman" w:hAnsi="Calibri" w:cs="Times New Roman"/>
          <w:lang w:eastAsia="ru-RU"/>
        </w:rPr>
        <w:tab/>
      </w: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плановый период 2024 и 2025 годов</w:t>
      </w:r>
    </w:p>
    <w:p w:rsidR="00533064" w:rsidRPr="00533064" w:rsidRDefault="00533064" w:rsidP="0053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533064" w:rsidRPr="00533064" w:rsidTr="005C2C9A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33064" w:rsidRPr="00533064" w:rsidTr="005C2C9A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064" w:rsidRPr="00533064" w:rsidRDefault="00533064" w:rsidP="0053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3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533064" w:rsidRPr="00533064" w:rsidTr="005C2C9A">
        <w:trPr>
          <w:trHeight w:val="1480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bookmarkStart w:id="18" w:name="_Hlk468107536"/>
            <w:r w:rsidRPr="00533064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bookmarkStart w:id="19" w:name="_Hlk468107554"/>
            <w:bookmarkEnd w:id="18"/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9"/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2115,1</w:t>
            </w:r>
          </w:p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882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  <w:sz w:val="24"/>
                <w:szCs w:val="24"/>
              </w:rPr>
            </w:pPr>
            <w:r w:rsidRPr="00533064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</w:tr>
      <w:tr w:rsidR="00533064" w:rsidRPr="00533064" w:rsidTr="005C2C9A">
        <w:trPr>
          <w:trHeight w:val="1196"/>
        </w:trPr>
        <w:tc>
          <w:tcPr>
            <w:tcW w:w="539" w:type="dxa"/>
            <w:vMerge w:val="restart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64" w:rsidRPr="00533064" w:rsidTr="005C2C9A">
        <w:trPr>
          <w:trHeight w:val="144"/>
        </w:trPr>
        <w:tc>
          <w:tcPr>
            <w:tcW w:w="539" w:type="dxa"/>
            <w:vMerge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533064" w:rsidRPr="00533064" w:rsidRDefault="00533064" w:rsidP="00533064">
            <w:pPr>
              <w:rPr>
                <w:rFonts w:ascii="Calibri" w:hAnsi="Calibri"/>
              </w:rPr>
            </w:pPr>
            <w:r w:rsidRPr="00533064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 xml:space="preserve">   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6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</w:tr>
    </w:tbl>
    <w:p w:rsidR="00533064" w:rsidRPr="00533064" w:rsidRDefault="00533064" w:rsidP="00533064">
      <w:pPr>
        <w:rPr>
          <w:rFonts w:ascii="Calibri" w:eastAsia="Times New Roman" w:hAnsi="Calibri" w:cs="Times New Roman"/>
          <w:lang w:eastAsia="ru-RU"/>
        </w:rPr>
      </w:pP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№20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__декабря 2022 года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2023 год и 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2024 и 2025 годов"</w:t>
      </w:r>
    </w:p>
    <w:p w:rsidR="00533064" w:rsidRPr="00533064" w:rsidRDefault="00533064" w:rsidP="0053306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гарантий</w:t>
      </w:r>
    </w:p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«Забайкальский район» на 2023 год и плановый период 2024 и 2025 годов</w:t>
      </w:r>
    </w:p>
    <w:tbl>
      <w:tblPr>
        <w:tblStyle w:val="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992"/>
        <w:gridCol w:w="1134"/>
        <w:gridCol w:w="992"/>
        <w:gridCol w:w="1134"/>
        <w:gridCol w:w="993"/>
        <w:gridCol w:w="1134"/>
        <w:gridCol w:w="567"/>
        <w:gridCol w:w="567"/>
        <w:gridCol w:w="708"/>
      </w:tblGrid>
      <w:tr w:rsidR="00533064" w:rsidRPr="00DD09F7" w:rsidTr="00DD09F7">
        <w:trPr>
          <w:trHeight w:val="248"/>
        </w:trPr>
        <w:tc>
          <w:tcPr>
            <w:tcW w:w="283" w:type="dxa"/>
            <w:vMerge w:val="restart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06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306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306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Муниципальные гарантии</w:t>
            </w:r>
          </w:p>
        </w:tc>
        <w:tc>
          <w:tcPr>
            <w:tcW w:w="3118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3261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842" w:type="dxa"/>
            <w:gridSpan w:val="3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533064" w:rsidRPr="00DD09F7" w:rsidTr="00DD09F7">
        <w:trPr>
          <w:trHeight w:val="144"/>
        </w:trPr>
        <w:tc>
          <w:tcPr>
            <w:tcW w:w="283" w:type="dxa"/>
            <w:vMerge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0" w:name="_Hlk468106964"/>
          </w:p>
        </w:tc>
        <w:tc>
          <w:tcPr>
            <w:tcW w:w="1135" w:type="dxa"/>
            <w:vMerge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992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993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 xml:space="preserve">Наличие права регрессного </w:t>
            </w:r>
            <w:bookmarkStart w:id="21" w:name="_GoBack"/>
            <w:bookmarkEnd w:id="21"/>
            <w:r w:rsidRPr="00DD09F7">
              <w:rPr>
                <w:rFonts w:ascii="Times New Roman" w:hAnsi="Times New Roman"/>
                <w:sz w:val="16"/>
                <w:szCs w:val="16"/>
              </w:rPr>
              <w:t>требования</w:t>
            </w:r>
          </w:p>
        </w:tc>
        <w:tc>
          <w:tcPr>
            <w:tcW w:w="1134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567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Сумма предоставляемых гарантий (тыс. рублей)</w:t>
            </w:r>
          </w:p>
        </w:tc>
        <w:tc>
          <w:tcPr>
            <w:tcW w:w="567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708" w:type="dxa"/>
          </w:tcPr>
          <w:p w:rsidR="00533064" w:rsidRPr="00DD09F7" w:rsidRDefault="00533064" w:rsidP="0053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9F7">
              <w:rPr>
                <w:rFonts w:ascii="Times New Roman" w:hAnsi="Times New Roman"/>
                <w:sz w:val="16"/>
                <w:szCs w:val="16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533064" w:rsidRPr="00533064" w:rsidTr="00DD09F7">
        <w:trPr>
          <w:trHeight w:val="144"/>
        </w:trPr>
        <w:tc>
          <w:tcPr>
            <w:tcW w:w="28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135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</w:tr>
      <w:bookmarkEnd w:id="22"/>
      <w:tr w:rsidR="00533064" w:rsidRPr="00533064" w:rsidTr="00DD09F7">
        <w:trPr>
          <w:trHeight w:val="144"/>
        </w:trPr>
        <w:tc>
          <w:tcPr>
            <w:tcW w:w="28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33064" w:rsidRPr="00533064" w:rsidRDefault="00533064" w:rsidP="00533064">
            <w:pPr>
              <w:jc w:val="center"/>
              <w:rPr>
                <w:rFonts w:ascii="Times New Roman" w:hAnsi="Times New Roman"/>
              </w:rPr>
            </w:pPr>
            <w:r w:rsidRPr="00533064">
              <w:rPr>
                <w:rFonts w:ascii="Times New Roman" w:hAnsi="Times New Roman"/>
              </w:rPr>
              <w:t>0,00</w:t>
            </w:r>
          </w:p>
        </w:tc>
      </w:tr>
      <w:bookmarkEnd w:id="20"/>
    </w:tbl>
    <w:p w:rsidR="00533064" w:rsidRPr="00533064" w:rsidRDefault="00533064" w:rsidP="005330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33064" w:rsidRPr="0053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9A" w:rsidRDefault="005C2C9A" w:rsidP="00FB18E9">
      <w:pPr>
        <w:spacing w:after="0" w:line="240" w:lineRule="auto"/>
      </w:pPr>
      <w:r>
        <w:separator/>
      </w:r>
    </w:p>
  </w:endnote>
  <w:endnote w:type="continuationSeparator" w:id="0">
    <w:p w:rsidR="005C2C9A" w:rsidRDefault="005C2C9A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9A" w:rsidRDefault="005C2C9A" w:rsidP="00FB18E9">
      <w:pPr>
        <w:spacing w:after="0" w:line="240" w:lineRule="auto"/>
      </w:pPr>
      <w:r>
        <w:separator/>
      </w:r>
    </w:p>
  </w:footnote>
  <w:footnote w:type="continuationSeparator" w:id="0">
    <w:p w:rsidR="005C2C9A" w:rsidRDefault="005C2C9A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6459D"/>
    <w:multiLevelType w:val="hybridMultilevel"/>
    <w:tmpl w:val="D218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3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9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2C3E"/>
    <w:multiLevelType w:val="hybridMultilevel"/>
    <w:tmpl w:val="EFEA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3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5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6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8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2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69A44AC"/>
    <w:multiLevelType w:val="hybridMultilevel"/>
    <w:tmpl w:val="6E46FF0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5"/>
  </w:num>
  <w:num w:numId="7">
    <w:abstractNumId w:val="21"/>
  </w:num>
  <w:num w:numId="8">
    <w:abstractNumId w:val="4"/>
  </w:num>
  <w:num w:numId="9">
    <w:abstractNumId w:val="23"/>
  </w:num>
  <w:num w:numId="10">
    <w:abstractNumId w:val="32"/>
  </w:num>
  <w:num w:numId="11">
    <w:abstractNumId w:val="29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27"/>
  </w:num>
  <w:num w:numId="17">
    <w:abstractNumId w:val="16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22"/>
  </w:num>
  <w:num w:numId="23">
    <w:abstractNumId w:val="10"/>
  </w:num>
  <w:num w:numId="24">
    <w:abstractNumId w:val="13"/>
  </w:num>
  <w:num w:numId="25">
    <w:abstractNumId w:val="1"/>
  </w:num>
  <w:num w:numId="26">
    <w:abstractNumId w:val="20"/>
  </w:num>
  <w:num w:numId="27">
    <w:abstractNumId w:val="2"/>
  </w:num>
  <w:num w:numId="28">
    <w:abstractNumId w:val="25"/>
  </w:num>
  <w:num w:numId="29">
    <w:abstractNumId w:val="26"/>
  </w:num>
  <w:num w:numId="30">
    <w:abstractNumId w:val="34"/>
  </w:num>
  <w:num w:numId="31">
    <w:abstractNumId w:val="14"/>
  </w:num>
  <w:num w:numId="32">
    <w:abstractNumId w:val="11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1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6937"/>
    <w:rsid w:val="000465DD"/>
    <w:rsid w:val="00047364"/>
    <w:rsid w:val="00054107"/>
    <w:rsid w:val="00061703"/>
    <w:rsid w:val="00070A9B"/>
    <w:rsid w:val="00093CB8"/>
    <w:rsid w:val="000B0EF6"/>
    <w:rsid w:val="000D0DF3"/>
    <w:rsid w:val="000E22A4"/>
    <w:rsid w:val="000F2F4F"/>
    <w:rsid w:val="00105ECE"/>
    <w:rsid w:val="0012205E"/>
    <w:rsid w:val="00126835"/>
    <w:rsid w:val="001279BC"/>
    <w:rsid w:val="001471F7"/>
    <w:rsid w:val="001575FE"/>
    <w:rsid w:val="00167E21"/>
    <w:rsid w:val="001A1EB7"/>
    <w:rsid w:val="001A6605"/>
    <w:rsid w:val="001C51E9"/>
    <w:rsid w:val="001D6117"/>
    <w:rsid w:val="00207C0F"/>
    <w:rsid w:val="002109C5"/>
    <w:rsid w:val="0022206F"/>
    <w:rsid w:val="002229A6"/>
    <w:rsid w:val="00231FF9"/>
    <w:rsid w:val="00243024"/>
    <w:rsid w:val="00250716"/>
    <w:rsid w:val="00273509"/>
    <w:rsid w:val="0028432B"/>
    <w:rsid w:val="00286C78"/>
    <w:rsid w:val="00292F3C"/>
    <w:rsid w:val="002D11BA"/>
    <w:rsid w:val="00310DB9"/>
    <w:rsid w:val="00315C8D"/>
    <w:rsid w:val="00316465"/>
    <w:rsid w:val="003236FA"/>
    <w:rsid w:val="00325883"/>
    <w:rsid w:val="00333839"/>
    <w:rsid w:val="003426DA"/>
    <w:rsid w:val="003613B9"/>
    <w:rsid w:val="00396164"/>
    <w:rsid w:val="003D29DC"/>
    <w:rsid w:val="003E55B4"/>
    <w:rsid w:val="003F5FFD"/>
    <w:rsid w:val="004017D1"/>
    <w:rsid w:val="00415FD3"/>
    <w:rsid w:val="00423B12"/>
    <w:rsid w:val="004255D0"/>
    <w:rsid w:val="004378A0"/>
    <w:rsid w:val="004426C7"/>
    <w:rsid w:val="00445F2C"/>
    <w:rsid w:val="00475344"/>
    <w:rsid w:val="00493DDA"/>
    <w:rsid w:val="0049419E"/>
    <w:rsid w:val="004A0FC2"/>
    <w:rsid w:val="004E1B47"/>
    <w:rsid w:val="00505978"/>
    <w:rsid w:val="00533064"/>
    <w:rsid w:val="005438AE"/>
    <w:rsid w:val="00566616"/>
    <w:rsid w:val="00571158"/>
    <w:rsid w:val="00575699"/>
    <w:rsid w:val="0057670B"/>
    <w:rsid w:val="005771DC"/>
    <w:rsid w:val="00586BC4"/>
    <w:rsid w:val="00590681"/>
    <w:rsid w:val="005947A5"/>
    <w:rsid w:val="005958B9"/>
    <w:rsid w:val="005A5C03"/>
    <w:rsid w:val="005A731C"/>
    <w:rsid w:val="005B0A99"/>
    <w:rsid w:val="005B2324"/>
    <w:rsid w:val="005C2C9A"/>
    <w:rsid w:val="00603C25"/>
    <w:rsid w:val="00623F9C"/>
    <w:rsid w:val="00630B1F"/>
    <w:rsid w:val="006853C8"/>
    <w:rsid w:val="006972F5"/>
    <w:rsid w:val="00697894"/>
    <w:rsid w:val="006A57E0"/>
    <w:rsid w:val="006A5C25"/>
    <w:rsid w:val="006E79A1"/>
    <w:rsid w:val="006F22C5"/>
    <w:rsid w:val="00714E5F"/>
    <w:rsid w:val="00727B82"/>
    <w:rsid w:val="00731B94"/>
    <w:rsid w:val="00743DBD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36CE"/>
    <w:rsid w:val="007D4F8F"/>
    <w:rsid w:val="007E341B"/>
    <w:rsid w:val="007E5616"/>
    <w:rsid w:val="0080656C"/>
    <w:rsid w:val="00833030"/>
    <w:rsid w:val="008669BB"/>
    <w:rsid w:val="0087157B"/>
    <w:rsid w:val="00872B9C"/>
    <w:rsid w:val="00881103"/>
    <w:rsid w:val="00884632"/>
    <w:rsid w:val="00885664"/>
    <w:rsid w:val="008862D7"/>
    <w:rsid w:val="00896545"/>
    <w:rsid w:val="008C59F3"/>
    <w:rsid w:val="008E64F2"/>
    <w:rsid w:val="008F7320"/>
    <w:rsid w:val="0090745A"/>
    <w:rsid w:val="00913624"/>
    <w:rsid w:val="00962881"/>
    <w:rsid w:val="0096390E"/>
    <w:rsid w:val="00964E28"/>
    <w:rsid w:val="00971D69"/>
    <w:rsid w:val="0097496F"/>
    <w:rsid w:val="0098041E"/>
    <w:rsid w:val="00995E34"/>
    <w:rsid w:val="009A4BBE"/>
    <w:rsid w:val="009B727B"/>
    <w:rsid w:val="009C622C"/>
    <w:rsid w:val="009D2C60"/>
    <w:rsid w:val="009E0994"/>
    <w:rsid w:val="009E1264"/>
    <w:rsid w:val="009E20E9"/>
    <w:rsid w:val="009F2D38"/>
    <w:rsid w:val="00A11FB1"/>
    <w:rsid w:val="00A27358"/>
    <w:rsid w:val="00A40D36"/>
    <w:rsid w:val="00A50DCA"/>
    <w:rsid w:val="00A71B3B"/>
    <w:rsid w:val="00A862D1"/>
    <w:rsid w:val="00A92C46"/>
    <w:rsid w:val="00A95374"/>
    <w:rsid w:val="00A9554E"/>
    <w:rsid w:val="00AC4007"/>
    <w:rsid w:val="00AD30D1"/>
    <w:rsid w:val="00AD6B3B"/>
    <w:rsid w:val="00AE7495"/>
    <w:rsid w:val="00B05CDA"/>
    <w:rsid w:val="00B064FC"/>
    <w:rsid w:val="00B12C36"/>
    <w:rsid w:val="00B157A6"/>
    <w:rsid w:val="00B5791F"/>
    <w:rsid w:val="00B61570"/>
    <w:rsid w:val="00B73DCE"/>
    <w:rsid w:val="00B76BD7"/>
    <w:rsid w:val="00BA06DD"/>
    <w:rsid w:val="00BA6128"/>
    <w:rsid w:val="00BD242F"/>
    <w:rsid w:val="00C11D4F"/>
    <w:rsid w:val="00C1494A"/>
    <w:rsid w:val="00C320BF"/>
    <w:rsid w:val="00C342B1"/>
    <w:rsid w:val="00C36438"/>
    <w:rsid w:val="00C41FAC"/>
    <w:rsid w:val="00C45CE0"/>
    <w:rsid w:val="00C47064"/>
    <w:rsid w:val="00C54E31"/>
    <w:rsid w:val="00C632B6"/>
    <w:rsid w:val="00C83437"/>
    <w:rsid w:val="00C92059"/>
    <w:rsid w:val="00CA1656"/>
    <w:rsid w:val="00CD46DB"/>
    <w:rsid w:val="00CE2B93"/>
    <w:rsid w:val="00CE4CA5"/>
    <w:rsid w:val="00CF376A"/>
    <w:rsid w:val="00CF3F8B"/>
    <w:rsid w:val="00CF7B3B"/>
    <w:rsid w:val="00D4359A"/>
    <w:rsid w:val="00D46081"/>
    <w:rsid w:val="00D566D9"/>
    <w:rsid w:val="00D634EC"/>
    <w:rsid w:val="00D63824"/>
    <w:rsid w:val="00D90A1E"/>
    <w:rsid w:val="00D91C18"/>
    <w:rsid w:val="00DA12BA"/>
    <w:rsid w:val="00DB34AD"/>
    <w:rsid w:val="00DB738F"/>
    <w:rsid w:val="00DD01CE"/>
    <w:rsid w:val="00DD09F7"/>
    <w:rsid w:val="00DE4F77"/>
    <w:rsid w:val="00E066A6"/>
    <w:rsid w:val="00E125B1"/>
    <w:rsid w:val="00E33D36"/>
    <w:rsid w:val="00E45582"/>
    <w:rsid w:val="00E914F4"/>
    <w:rsid w:val="00E96300"/>
    <w:rsid w:val="00EA74A2"/>
    <w:rsid w:val="00EB4755"/>
    <w:rsid w:val="00EC1802"/>
    <w:rsid w:val="00EC2DC4"/>
    <w:rsid w:val="00EE4F66"/>
    <w:rsid w:val="00F03C73"/>
    <w:rsid w:val="00F3357B"/>
    <w:rsid w:val="00F41E1A"/>
    <w:rsid w:val="00F56C8F"/>
    <w:rsid w:val="00F90EE3"/>
    <w:rsid w:val="00FB18E9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://www.consultant.ru/document/cons_doc_LAW_217542/806a2ec7312bde7c69d00da71451d7ddec7eae1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us.gosfinansy.ru/" TargetMode="External"/><Relationship Id="rId34" Type="http://schemas.openxmlformats.org/officeDocument/2006/relationships/hyperlink" Target="http://www.consultant.ru/document/cons_doc_LAW_51040/7cb66e0f239f00b0e1d59f167cd46beb2182ece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plus.gosfinansy.ru/" TargetMode="External"/><Relationship Id="rId33" Type="http://schemas.openxmlformats.org/officeDocument/2006/relationships/hyperlink" Target="http://www.consultant.ru/document/cons_doc_LAW_51040/2a679030b1fbedead6215f4726b6f38c0f46b8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plus.gosfinansy.ru/" TargetMode="External"/><Relationship Id="rId29" Type="http://schemas.openxmlformats.org/officeDocument/2006/relationships/hyperlink" Target="http://www.consultant.ru/document/cons_doc_LAW_51040/fe0cad704c69e3b97bf615f0437ecf1996a576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hyperlink" Target="http://www.consultant.ru/document/cons_doc_LAW_51040/7b81874f50ed9cd03230f753e5c5a4b03ef9092d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hyperlink" Target="http://www.consultant.ru/document/cons_doc_LAW_5104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consultantplus://offline/ref=5D5C281A9281C5F26254173545004574C58BCA70030C34BF14B06748B53381BC009CAFCAXBvEB" TargetMode="External"/><Relationship Id="rId31" Type="http://schemas.openxmlformats.org/officeDocument/2006/relationships/hyperlink" Target="http://www.consultant.ru/document/cons_doc_LAW_5142/f670878d88ab83726bd1804b82668b84b027802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hyperlink" Target="http://www.consultant.ru/document/cons_doc_LAW_51040/570afc6feff03328459242886307d6aebe1ccb6b/" TargetMode="External"/><Relationship Id="rId30" Type="http://schemas.openxmlformats.org/officeDocument/2006/relationships/hyperlink" Target="http://www.consultant.ru/document/cons_doc_LAW_51040/fe0cad704c69e3b97bf615f0437ecf1996a57677/" TargetMode="External"/><Relationship Id="rId35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ECBE-33B2-40D5-B150-F4E6DDE3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155</Pages>
  <Words>50445</Words>
  <Characters>287542</Characters>
  <Application>Microsoft Office Word</Application>
  <DocSecurity>0</DocSecurity>
  <Lines>2396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45</cp:revision>
  <cp:lastPrinted>2022-11-09T08:24:00Z</cp:lastPrinted>
  <dcterms:created xsi:type="dcterms:W3CDTF">2020-11-18T00:52:00Z</dcterms:created>
  <dcterms:modified xsi:type="dcterms:W3CDTF">2022-11-09T08:24:00Z</dcterms:modified>
</cp:coreProperties>
</file>